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8.0 -->
  <w:body>
    <w:p>
      <w:pPr>
        <w:pStyle w:val="Heading2"/>
        <w:keepNext w:val="0"/>
        <w:spacing w:before="0" w:after="299"/>
        <w:rPr>
          <w:rFonts w:ascii="Times New Roman" w:eastAsia="Times New Roman" w:hAnsi="Times New Roman" w:cs="Times New Roman"/>
          <w:b/>
          <w:bCs/>
          <w:sz w:val="36"/>
          <w:szCs w:val="36"/>
        </w:rPr>
      </w:pPr>
      <w:r>
        <w:rPr>
          <w:rFonts w:ascii="Times New Roman" w:eastAsia="Times New Roman" w:hAnsi="Times New Roman" w:cs="Times New Roman"/>
          <w:i w:val="0"/>
          <w:iCs w:val="0"/>
          <w:sz w:val="36"/>
          <w:szCs w:val="36"/>
        </w:rPr>
        <w:t>Заявка на проведение торгов</w:t>
      </w: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Форма торгов / Форма представления предложений о цене</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Тип процедуры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Аукцион</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Форма торгов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Открытая</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Форма представления предложений о цене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Открытая</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Общие сведения о проведении торгов</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ЕФРСБ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8"/>
              <w:gridCol w:w="522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ЕФРСБ</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Идентификатор сообщения в ЕФРСБ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24496821</w:t>
                  </w:r>
                </w:p>
              </w:tc>
            </w:tr>
          </w:tbl>
          <w:p>
            <w:pPr>
              <w:jc w:val="left"/>
              <w:rPr>
                <w:rFonts w:ascii="Times New Roman" w:eastAsia="Times New Roman" w:hAnsi="Times New Roman" w:cs="Times New Roman"/>
                <w:b w:val="0"/>
                <w:bCs w:val="0"/>
                <w:i w:val="0"/>
                <w:iCs w:val="0"/>
                <w:smallCaps w:val="0"/>
                <w:color w:val="000000"/>
              </w:rPr>
            </w:pP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торгов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Открытые торги по продаже имущества Рыковой Елены Сергеевны</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публикации сообщения о проведении торгов в официальном издании </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iCs/>
                <w:smallCaps w:val="0"/>
                <w:color w:val="000000"/>
              </w:rPr>
              <w:t>Обязательно указать, если должник является юр.лицом или ИП</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публикации сообщения о проведении торгов в печатном органе по месту нахождения должника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публикации сообщения о проведении торгов в Едином федеральном реестре сведений о банкротстве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04.09.2026</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Повторные торги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Имущество является предметом залога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Залогодержатель – кредитная организация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Кредитор - залогодержатель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Банк ВТБ (ПАО)</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об организаторе торгов</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Наименование/ФИО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Шутов Никита Андреевич</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Почтовый адрес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115191, Российская Федерация, Г. Москва, Москва, Гамсоновский переулок, д. 2, к./стр. 1, кв. п.6,эт.1,пом.85-94</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ИНН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502478899949</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Электронный адрес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shutov_n_a@mail.ru;</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Контактный телефон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89265699657</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Реквизиты счета для перечисления Задатка</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Использовать реквизиты оператора для перечисления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Расчетный счет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40702810300020038047</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Лицевой счет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Корреспондентский счет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30101810400000000225</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БИК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044525225</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Название банка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ПАО «Сбербанк» г.Москва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Адрес банка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ИНН получателя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7707308480</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получателя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АО «Сбербанк-АСТ»</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Файл договора о задатке</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Скачать Договор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587"/>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01.02.2024</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заключения договора купли-продажи</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и срок заключения договора купли-продажи имущества (предприятия)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Договор купли-продажи имущества должен быть подписан победителем торгов в течение 5 дней с даты получения предложения финансового управляющего заключить договор, которое должно быть направлено с приложением проекта данного договора победителю торгов в течение 5 дней с даты подписания протокола о результатах проведения торгов. </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платежей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Оплата имущества производится покупателем не позднее 30 дней со дня подписания договора, путем перечисления денежных средств на основной счет гражданина.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Реквизиты счета для перечисления задатка победителя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8"/>
              <w:gridCol w:w="522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Реквизиты счета для перечисления задатка победителя</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Расчетный счет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40817810938258098886</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Лицевой счет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Корреспондентский счет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БИК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044525225</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Название банка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30101810400000000225</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Адрес банка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ИНН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772208971295</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получателя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Рыкова Елена Сергеевна</w:t>
                  </w:r>
                </w:p>
              </w:tc>
            </w:tr>
          </w:tbl>
          <w:p>
            <w:pPr>
              <w:jc w:val="left"/>
              <w:rPr>
                <w:rFonts w:ascii="Times New Roman" w:eastAsia="Times New Roman" w:hAnsi="Times New Roman" w:cs="Times New Roman"/>
                <w:b w:val="0"/>
                <w:bCs w:val="0"/>
                <w:i w:val="0"/>
                <w:iCs w:val="0"/>
                <w:smallCaps w:val="0"/>
                <w:color w:val="000000"/>
              </w:rPr>
            </w:pP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Проект договора купли-продажи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7489"/>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Проект Договора купли-продажи Лот №1.docx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24.07.2026 22:24:07:820</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о должнике</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Должник является физ. лицом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Наименование/ФИО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Рыкова Елена Сергеевна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ИНН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772200978919</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СНИЛС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04439928686</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об арбитражном управляющем</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ФИО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Шутов Никита Андреевич</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ИНН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502478899949</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Саморегулируемая организация арбитражных управляющих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Ассоциация "Саморегулируемая организация арбитражных управляющих Центрального федерального округа"</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Согласие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об арбитражном суде</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дела о банкротстве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А40-9095/2025 178-11 "Ф"</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арбитражного суда, рассматривающего дело о банкротстве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Арбитражный суд города Москвы</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Основание для проведения торгов(реквизиты судебного акта арбитражного суда)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Решение Арбитражного суда города Москвы от 17.03.2026 г. по делу №А40-9095/2025 178-11 "Ф" Ф. Порядки и условия проведения торгов по реализации предмета залога, утвержденные кредитором, чьи требования обеспечены залогом реализуемого имущества - Банк ВТБ (ПАО)</w:t>
            </w:r>
          </w:p>
        </w:tc>
      </w:tr>
    </w:tbl>
    <w:p>
      <w:pPr>
        <w:rPr>
          <w:rFonts w:ascii="Times New Roman" w:eastAsia="Times New Roman" w:hAnsi="Times New Roman" w:cs="Times New Roman"/>
        </w:rPr>
      </w:pPr>
    </w:p>
    <w:tbl>
      <w:tblPr>
        <w:tblStyle w:val="block-tbl"/>
        <w:tblCellSpacing w:w="15" w:type="dxa"/>
        <w:tblInd w:w="22" w:type="dxa"/>
        <w:tblCellMar>
          <w:top w:w="15" w:type="dxa"/>
          <w:left w:w="15" w:type="dxa"/>
          <w:bottom w:w="15" w:type="dxa"/>
          <w:right w:w="15" w:type="dxa"/>
        </w:tblCellMar>
        <w:tblLook w:val="05E0"/>
      </w:tblPr>
      <w:tblGrid>
        <w:gridCol w:w="10720"/>
      </w:tblGrid>
      <w:tr>
        <w:tblPrEx>
          <w:tblCellSpacing w:w="15" w:type="dxa"/>
          <w:tblInd w:w="22"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Лоты </w:t>
            </w:r>
            <w:r>
              <w:rPr>
                <w:rFonts w:ascii="Times New Roman" w:eastAsia="Times New Roman" w:hAnsi="Times New Roman" w:cs="Times New Roman"/>
                <w:b/>
                <w:bCs/>
                <w:i w:val="0"/>
                <w:iCs w:val="0"/>
                <w:smallCaps w:val="0"/>
                <w:color w:val="000000"/>
              </w:rPr>
              <w:br/>
            </w:r>
          </w:p>
        </w:tc>
      </w:tr>
      <w:tr>
        <w:tblPrEx>
          <w:tblCellSpacing w:w="15" w:type="dxa"/>
          <w:tblInd w:w="22" w:type="dxa"/>
          <w:tblCellMar>
            <w:top w:w="15" w:type="dxa"/>
            <w:left w:w="15" w:type="dxa"/>
            <w:bottom w:w="15" w:type="dxa"/>
            <w:right w:w="15" w:type="dxa"/>
          </w:tblCellMar>
          <w:tblLook w:val="05E0"/>
        </w:tblPrEx>
        <w:trPr>
          <w:tblCellSpacing w:w="15" w:type="dxa"/>
        </w:trPr>
        <w:tc>
          <w:tcPr>
            <w:tcBorders>
              <w:top w:val="single" w:sz="6" w:space="0" w:color="CCCCCC"/>
              <w:left w:val="single" w:sz="6" w:space="0" w:color="CCCCCC"/>
              <w:bottom w:val="single" w:sz="6" w:space="0" w:color="CCCCCC"/>
              <w:right w:val="single" w:sz="6" w:space="0" w:color="CCCCCC"/>
            </w:tcBorders>
            <w:noWrap w:val="0"/>
            <w:tcMar>
              <w:top w:w="15" w:type="dxa"/>
              <w:left w:w="15" w:type="dxa"/>
              <w:bottom w:w="15" w:type="dxa"/>
              <w:right w:w="15" w:type="dxa"/>
            </w:tcMar>
            <w:vAlign w:val="top"/>
            <w:hideMark/>
          </w:tcPr>
          <w:tbl>
            <w:tblPr>
              <w:tblStyle w:val="block"/>
              <w:tblW w:w="5000" w:type="pct"/>
              <w:tblCellMar>
                <w:top w:w="15" w:type="dxa"/>
                <w:left w:w="15" w:type="dxa"/>
                <w:bottom w:w="15" w:type="dxa"/>
                <w:right w:w="15" w:type="dxa"/>
              </w:tblCellMar>
              <w:tblLook w:val="05E0"/>
            </w:tblPr>
            <w:tblGrid>
              <w:gridCol w:w="3216"/>
              <w:gridCol w:w="7504"/>
            </w:tblGrid>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Информация по лоту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Информация по лоту</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Номер лота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Style w:val="orderCtrldigits"/>
                            <w:rFonts w:ascii="Times New Roman" w:eastAsia="Times New Roman" w:hAnsi="Times New Roman" w:cs="Times New Roman"/>
                            <w:b w:val="0"/>
                            <w:bCs w:val="0"/>
                            <w:i w:val="0"/>
                            <w:iCs w:val="0"/>
                            <w:smallCaps w:val="0"/>
                            <w:color w:val="000000"/>
                          </w:rPr>
                          <w:t>1</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Наименование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Земельный участок, площадь: 1497 +/- 14 кв.м., категория земель: земли населенных пунктов, адрес (местонахождение): Российская Федерация, Московская область, г.о. Клин, п Зубово, кв-л Ёлки, з/у 12, кадастровый (условный) номер: 50:03:0030380:1504</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должника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об имуществе должника</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об имуществе (предприятии) должника, выставляемом на торги, его составе, характеристиках, описание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Земельный участок, площадь: 1497 +/- 14 кв.м., категория земель: земли населенных пунктов, адрес (местонахождение): Российская Федерация, Московская область, г.о. Клин, п Зубово, кв-л Ёлки, з/у 12, кадастровый (условный) номер: 50:03:0030380:1504. Имущество обременено залогом (ипотекой) в пользу Банк ВТБ (Публичное акционерное общество) (ОГРН 1027739609391); номер и дата государственной регистрации ограничения (обременения) права: 50:03:0030380:1504-50/124/2022-7 от 28.12.2022 г.</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Регион выставляемого на торги имущества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Г. Москва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Классификация имущества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tbl"/>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Header/>
                            <w:tblCellSpacing w:w="15" w:type="dxa"/>
                          </w:trPr>
                          <w:tc>
                            <w:tcPr>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15" w:type="dxa"/>
                                <w:bottom w:w="15" w:type="dxa"/>
                                <w:right w:w="15"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 xml:space="preserve">Классификация </w:t>
                              </w:r>
                              <w:r>
                                <w:rPr>
                                  <w:rFonts w:ascii="Times New Roman" w:eastAsia="Times New Roman" w:hAnsi="Times New Roman" w:cs="Times New Roman"/>
                                  <w:b/>
                                  <w:bCs/>
                                  <w:i w:val="0"/>
                                  <w:iCs w:val="0"/>
                                  <w:smallCaps w:val="0"/>
                                  <w:color w:val="FF0000"/>
                                </w:rPr>
                                <w:t>*</w:t>
                              </w:r>
                              <w:r>
                                <w:rPr>
                                  <w:rFonts w:ascii="Times New Roman" w:eastAsia="Times New Roman" w:hAnsi="Times New Roman" w:cs="Times New Roman"/>
                                  <w:b/>
                                  <w:bCs/>
                                  <w:i w:val="0"/>
                                  <w:iCs w:val="0"/>
                                  <w:smallCaps w:val="0"/>
                                  <w:color w:val="FF0000"/>
                                </w:rPr>
                                <w:br/>
                              </w:r>
                              <w:r>
                                <w:rPr>
                                  <w:rFonts w:ascii="Times New Roman" w:eastAsia="Times New Roman" w:hAnsi="Times New Roman" w:cs="Times New Roman"/>
                                  <w:b/>
                                  <w:bCs/>
                                  <w:i/>
                                  <w:iCs/>
                                  <w:smallCaps w:val="0"/>
                                  <w:color w:val="000000"/>
                                </w:rPr>
                                <w:t>Необходимо выбрать код классификатора максимально раскрытым в своей иерархической структуре</w:t>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Земельные участки</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ознакомления с имуществом (предприятием) должника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Ознакомление с характеристиками имущества производится на Электронной площадке и в Едином федеральном реестре сведений о банкротстве. Ознакомление с имуществом, в том числе путем его фотографирования, осуществляется по месту нахождения имущества в период приема заявок на участие в торгах по рабочим дням с 12:00 (МСК) до 14:00 (МСК) по заявке, заблаговременно направляемой на электронную почту организатора торгов. Ознакомление с имеющимися в отношении имущества документами, в том числе путем их копирования, осуществляется в период приема заявок по рабочим дням с 10:00 (МСК) до 18:00 (МСК) по адресу: г. Москва, ул. Садовническая, д. 70, стр. 2 (вход со двора) по заявке, направляемой на электронную почту организатора торгов: shutov_n_a@mail.ru. </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Дополнительная информация о должнике и его имуществе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dt"/>
                          <w:tblCellSpacing w:w="15" w:type="dxa"/>
                          <w:tblCellMar>
                            <w:top w:w="15" w:type="dxa"/>
                            <w:left w:w="15" w:type="dxa"/>
                            <w:bottom w:w="15" w:type="dxa"/>
                            <w:right w:w="15" w:type="dxa"/>
                          </w:tblCellMar>
                          <w:tblLook w:val="05E0"/>
                        </w:tblPr>
                        <w:tblGrid>
                          <w:gridCol w:w="5223"/>
                        </w:tblGrid>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Договор о задатке с 01.02.2024 года.docx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19.06.2026 20:29:13:413</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Выписка из ЕГРН.pdf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24.07.2026 22:26:13:907</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Порядок и условия проведения торгов по реализации предмете залога Рыковой Е.С..pdf</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24.07.2026 22:26:22:050</w:t>
                              </w:r>
                              <w:r>
                                <w:rPr>
                                  <w:rFonts w:ascii="Times New Roman" w:eastAsia="Times New Roman" w:hAnsi="Times New Roman" w:cs="Times New Roman"/>
                                  <w:b w:val="0"/>
                                  <w:bCs w:val="0"/>
                                  <w:i w:val="0"/>
                                  <w:iCs w:val="0"/>
                                  <w:smallCaps w:val="0"/>
                                  <w:color w:val="000000"/>
                                </w:rPr>
                                <w:br/>
                              </w:r>
                            </w:p>
                          </w:tc>
                        </w:tr>
                        <w:tr>
                          <w:tblPrEx>
                            <w:tblCellSpacing w:w="15" w:type="dxa"/>
                            <w:tblCellMar>
                              <w:top w:w="15" w:type="dxa"/>
                              <w:left w:w="15" w:type="dxa"/>
                              <w:bottom w:w="15" w:type="dxa"/>
                              <w:right w:w="15" w:type="dxa"/>
                            </w:tblCellMar>
                            <w:tblLook w:val="05E0"/>
                          </w:tblPrEx>
                          <w:trPr>
                            <w:tblCellSpacing w:w="15" w:type="dxa"/>
                          </w:trPr>
                          <w:tc>
                            <w:tcPr>
                              <w:tcBorders>
                                <w:top w:val="single" w:sz="6" w:space="0" w:color="000000"/>
                                <w:left w:val="single" w:sz="6" w:space="0" w:color="000000"/>
                                <w:bottom w:val="single" w:sz="6" w:space="0" w:color="000000"/>
                                <w:right w:val="single" w:sz="6" w:space="0" w:color="000000"/>
                              </w:tcBorders>
                              <w:noWrap w:val="0"/>
                              <w:tcMar>
                                <w:top w:w="15" w:type="dxa"/>
                                <w:left w:w="15" w:type="dxa"/>
                                <w:bottom w:w="15" w:type="dxa"/>
                                <w:right w:w="15"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Сообщение о продаже имущества (извещение о проведении поторных открытых торгов).docx</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val="0"/>
                                  <w:iCs w:val="0"/>
                                  <w:smallCaps w:val="0"/>
                                  <w:color w:val="000000"/>
                                </w:rPr>
                                <w:t>04.09.2026 20:44:00:083</w:t>
                              </w:r>
                              <w:r>
                                <w:rPr>
                                  <w:rFonts w:ascii="Times New Roman" w:eastAsia="Times New Roman" w:hAnsi="Times New Roman" w:cs="Times New Roman"/>
                                  <w:b w:val="0"/>
                                  <w:bCs w:val="0"/>
                                  <w:i w:val="0"/>
                                  <w:iCs w:val="0"/>
                                  <w:smallCaps w:val="0"/>
                                  <w:color w:val="000000"/>
                                </w:rPr>
                                <w:br/>
                              </w: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проведения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Начальная цена продажи имущества (предприятия) должника, руб.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3923903.47</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шага вводится в процентах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Шаг торгов </w:t>
                        </w:r>
                        <w:r>
                          <w:rPr>
                            <w:rFonts w:ascii="Times New Roman" w:eastAsia="Times New Roman" w:hAnsi="Times New Roman" w:cs="Times New Roman"/>
                            <w:b w:val="0"/>
                            <w:bCs w:val="0"/>
                            <w:i w:val="0"/>
                            <w:iCs w:val="0"/>
                            <w:smallCaps w:val="0"/>
                            <w:color w:val="000000"/>
                          </w:rPr>
                          <w:br/>
                        </w:r>
                        <w:r>
                          <w:rPr>
                            <w:rFonts w:ascii="Times New Roman" w:eastAsia="Times New Roman" w:hAnsi="Times New Roman" w:cs="Times New Roman"/>
                            <w:b w:val="0"/>
                            <w:bCs w:val="0"/>
                            <w:i/>
                            <w:iCs/>
                            <w:smallCaps w:val="0"/>
                            <w:color w:val="000000"/>
                          </w:rPr>
                          <w:t>От 5% до 10% от начальной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5.00</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Сведения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Сведения о задатке</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Заявление в отношении договора о задатке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Настоящим заявляю, что договор о задатке по процедуре заключается Участником отдельно в отношении каждого лота процедуры</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вводится в процентах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Да</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Размер задатка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r>
                          <w:rPr>
                            <w:rFonts w:ascii="Times New Roman" w:eastAsia="Times New Roman" w:hAnsi="Times New Roman" w:cs="Times New Roman"/>
                            <w:b w:val="0"/>
                            <w:bCs w:val="0"/>
                            <w:i/>
                            <w:iCs/>
                            <w:smallCaps w:val="0"/>
                            <w:color w:val="000000"/>
                          </w:rPr>
                          <w:t>До 20% от начальной цены.</w:t>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5.00</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Сроки и порядок внесения и возврата задатка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Для участия в торгах заявитель должен внести задаток в размере 5% от начальной цены продажи лота в срок не позднее даты составления протокола об определении участников торгов. Основанием для внесения задатка является договор о задатке. Договоры о задатке с заявителями заключает оператор электронной площадки – АО «Сбербанк-АСТ» (ИНН 7707308480). Задатки вносятся заявителями на банковский счет оператора электронной площадки. Датой внесения задатка считается дата блокирования денежных средств на счете заявителя на электронной площадке. Образец заполнения платежного поручения для внесения заявителями задатка размещен в сети «Интернет» по адресу: http://utp.sberbank-ast.ru/Bankruptcy/. Возврат задатка осуществляется в течение 5 дней с даты определения победителя торгов за исключением победителя торгов. В случае неуплаты покупной цены в установленный срок договор купли-продажи считается незаключенным, а торги признаются несостоявшимися. При этом, задаток, уплаченный победителем торгов, ему не возвращается, а включается в конкурсную массу гражданина. Организатор торгов также вправе требовать возмещения причиненных ему убытков. </w:t>
                        </w:r>
                      </w:p>
                    </w:tc>
                  </w:tr>
                </w:tbl>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Публикация на рекламных ресурсах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tbl>
                  <w:tblPr>
                    <w:tblStyle w:val="block"/>
                    <w:tblW w:w="5000" w:type="pct"/>
                    <w:tblCellMar>
                      <w:top w:w="15" w:type="dxa"/>
                      <w:left w:w="15" w:type="dxa"/>
                      <w:bottom w:w="15" w:type="dxa"/>
                      <w:right w:w="15" w:type="dxa"/>
                    </w:tblCellMar>
                    <w:tblLook w:val="05E0"/>
                  </w:tblPr>
                  <w:tblGrid>
                    <w:gridCol w:w="2233"/>
                    <w:gridCol w:w="5211"/>
                  </w:tblGrid>
                  <w:tr>
                    <w:tblPrEx>
                      <w:tblW w:w="5000" w:type="pct"/>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Публикация на рекламных ресурсах</w:t>
                        </w:r>
                        <w:r>
                          <w:rPr>
                            <w:rFonts w:ascii="Times New Roman" w:eastAsia="Times New Roman" w:hAnsi="Times New Roman" w:cs="Times New Roman"/>
                            <w:b/>
                            <w:bCs/>
                            <w:i w:val="0"/>
                            <w:iCs w:val="0"/>
                            <w:smallCaps w:val="0"/>
                            <w:color w:val="000000"/>
                          </w:rPr>
                          <w:br/>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Нет</w:t>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PortalDA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1"/>
                                <w:checked w:val="1"/>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Опубликовать на рекламных ресурсах Cian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fldChar w:fldCharType="begin">
                            <w:ffData>
                              <w:name w:val=""/>
                              <w:enabled w:val="0"/>
                              <w:calcOnExit w:val="0"/>
                              <w:checkBox>
                                <w:size w:val="24"/>
                                <w:default w:val="1"/>
                                <w:checked w:val="1"/>
                              </w:checkBox>
                            </w:ffData>
                          </w:fldChar>
                        </w:r>
                        <w:r>
                          <w:rPr>
                            <w:rFonts w:ascii="Times New Roman" w:eastAsia="Times New Roman" w:hAnsi="Times New Roman" w:cs="Times New Roman"/>
                            <w:b w:val="0"/>
                            <w:bCs w:val="0"/>
                            <w:i w:val="0"/>
                            <w:iCs w:val="0"/>
                            <w:smallCaps w:val="0"/>
                            <w:color w:val="000000"/>
                          </w:rPr>
                          <w:instrText xml:space="preserve"> FORMCHECKBOX </w:instrText>
                        </w:r>
                        <w:r>
                          <w:rPr>
                            <w:rFonts w:ascii="Times New Roman" w:eastAsia="Times New Roman" w:hAnsi="Times New Roman" w:cs="Times New Roman"/>
                            <w:b w:val="0"/>
                            <w:bCs w:val="0"/>
                            <w:i w:val="0"/>
                            <w:iCs w:val="0"/>
                            <w:smallCaps w:val="0"/>
                            <w:color w:val="000000"/>
                          </w:rPr>
                          <w:fldChar w:fldCharType="end"/>
                        </w: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СпецТехника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Коммерческая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Жилая недвижимость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Транспорт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r>
                    <w:tblPrEx>
                      <w:tblW w:w="5000" w:type="pct"/>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Земельные участки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jc w:val="left"/>
              <w:rPr>
                <w:rFonts w:ascii="Times New Roman" w:eastAsia="Times New Roman" w:hAnsi="Times New Roman" w:cs="Times New Roman"/>
                <w:b w:val="0"/>
                <w:bCs w:val="0"/>
                <w:i w:val="0"/>
                <w:iCs w:val="0"/>
                <w:smallCaps w:val="0"/>
                <w:color w:val="000000"/>
              </w:rPr>
            </w:pP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представления заявок на участие в торгах (предложений о цене)</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и время начала подачи заявок (предложений)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07.09.2026 14:00</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и время окончания подачи заявок (предложений)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12.10.2026 14:00</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определения участников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15.10.2026</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Место представления заявок (предложений)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http://utp.sberbank-ast.ru/Bankruptcy/</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представления заявок (предложений)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 соответствии с регламентом работы электронной площадки</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оформления участия в торгах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 соответствии с регламентом работы электронной площадки</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Перечень предоставляемых участниками документов, требования к их оформлению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К участию в торгах допускаются лица, которые могут быть признаны покупателями имущества по законодательству РФ, своевременно подавшие заявку, соответствующую требованиям, установленным законодательством и указанным в настоящем сообщении, и внесшие задаток в размере, в порядке и в сроки, указанные в настоящем сообщении. Оформление участия в торгах производится в сети «Интернет» по адресу http://utp.sberbank-ast.ru/Bankruptcy/ путем подачи посредством электронного документооборота в указанный в настоящей публикации срок Заявки на участие в торгах в форме электронного документа, подписанного квалифицированной электронной подписью, которая составляется в произвольной форме на русском языке и должна содержать следующие сведения: наименование, организационно-правовая форма, место нахождения, почтовый адрес заявителя (для юридического лица); фамилия, имя, отчество, паспортные данные, сведения о месте жительства заявителя (для физического лица); номер контактного телефона, адрес электронной почты заявителя; сведения о наличии или об отсутствии заинтересованности заявителя по отношению к гражданину, кредиторам, финансовому управляющему и о характере этой заинтересованности, сведения об участии в капитале заявителя финансового управляющего, а также саморегулируемой организации арбитражных управляющих, членом которой является финансовый управляющий. В связи с проведением торгов в электронной форме представление вместе с заявкой на участие в торгах копий каких-либо документов не требуется. Для участия в торгах заявитель должен внести задаток в размере 5% от начальной цены продажи лота в срок не позднее даты составления протокола об определении участников торгов.</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проведения торгов</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и время начала торгов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16.10.2026 14:00</w:t>
            </w:r>
          </w:p>
        </w:tc>
      </w:tr>
    </w:tbl>
    <w:p>
      <w:pPr>
        <w:rPr>
          <w:rFonts w:ascii="Times New Roman" w:eastAsia="Times New Roman" w:hAnsi="Times New Roman" w:cs="Times New Roman"/>
        </w:rPr>
      </w:pPr>
    </w:p>
    <w:tbl>
      <w:tblPr>
        <w:tblStyle w:val="block"/>
        <w:tblW w:w="5000" w:type="pct"/>
        <w:tblInd w:w="30" w:type="dxa"/>
        <w:tblCellMar>
          <w:top w:w="15" w:type="dxa"/>
          <w:left w:w="15" w:type="dxa"/>
          <w:bottom w:w="15" w:type="dxa"/>
          <w:right w:w="15" w:type="dxa"/>
        </w:tblCellMar>
        <w:tblLook w:val="05E0"/>
      </w:tblPr>
      <w:tblGrid>
        <w:gridCol w:w="3223"/>
        <w:gridCol w:w="7519"/>
      </w:tblGrid>
      <w:tr>
        <w:tblPrEx>
          <w:tblW w:w="5000" w:type="pct"/>
          <w:tblInd w:w="30" w:type="dxa"/>
          <w:tblCellMar>
            <w:top w:w="15" w:type="dxa"/>
            <w:left w:w="15" w:type="dxa"/>
            <w:bottom w:w="15" w:type="dxa"/>
            <w:right w:w="15" w:type="dxa"/>
          </w:tblCellMar>
          <w:tblLook w:val="05E0"/>
        </w:tblPrEx>
        <w:trPr>
          <w:tblHeader/>
        </w:trPr>
        <w:tc>
          <w:tcPr>
            <w:gridSpan w:val="2"/>
            <w:tcBorders>
              <w:top w:val="single" w:sz="6" w:space="0" w:color="CCCCCC"/>
              <w:left w:val="single" w:sz="6" w:space="0" w:color="CCCCCC"/>
              <w:bottom w:val="single" w:sz="6" w:space="0" w:color="CCCCCC"/>
              <w:right w:val="single" w:sz="6" w:space="0" w:color="CCCCCC"/>
            </w:tcBorders>
            <w:shd w:val="clear" w:color="auto" w:fill="CCCCCC"/>
            <w:noWrap w:val="0"/>
            <w:tcMar>
              <w:top w:w="15" w:type="dxa"/>
              <w:left w:w="22" w:type="dxa"/>
              <w:bottom w:w="15" w:type="dxa"/>
              <w:right w:w="22" w:type="dxa"/>
            </w:tcMar>
            <w:vAlign w:val="top"/>
            <w:hideMark/>
          </w:tcPr>
          <w:p>
            <w:pPr>
              <w:jc w:val="left"/>
              <w:rPr>
                <w:rFonts w:ascii="Times New Roman" w:eastAsia="Times New Roman" w:hAnsi="Times New Roman" w:cs="Times New Roman"/>
                <w:b/>
                <w:bCs/>
                <w:i w:val="0"/>
                <w:iCs w:val="0"/>
                <w:smallCaps w:val="0"/>
                <w:color w:val="000000"/>
              </w:rPr>
            </w:pPr>
            <w:r>
              <w:rPr>
                <w:rFonts w:ascii="Times New Roman" w:eastAsia="Times New Roman" w:hAnsi="Times New Roman" w:cs="Times New Roman"/>
                <w:b/>
                <w:bCs/>
                <w:i w:val="0"/>
                <w:iCs w:val="0"/>
                <w:smallCaps w:val="0"/>
                <w:color w:val="000000"/>
              </w:rPr>
              <w:t>Порядок подведения итогов</w:t>
            </w:r>
            <w:r>
              <w:rPr>
                <w:rFonts w:ascii="Times New Roman" w:eastAsia="Times New Roman" w:hAnsi="Times New Roman" w:cs="Times New Roman"/>
                <w:b/>
                <w:bCs/>
                <w:i w:val="0"/>
                <w:iCs w:val="0"/>
                <w:smallCaps w:val="0"/>
                <w:color w:val="000000"/>
              </w:rPr>
              <w:br/>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Порядок и критерии определения победителей торгов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Выигравшим аукцион (победителем торгов) признается участник, предложивший наиболее высокую цену за имущество.</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Дата и время подведения результатов торгов </w:t>
            </w:r>
            <w:r>
              <w:rPr>
                <w:rFonts w:ascii="Times New Roman" w:eastAsia="Times New Roman" w:hAnsi="Times New Roman" w:cs="Times New Roman"/>
                <w:b w:val="0"/>
                <w:bCs w:val="0"/>
                <w:i w:val="0"/>
                <w:iCs w:val="0"/>
                <w:smallCaps w:val="0"/>
                <w:color w:val="FF0000"/>
              </w:rPr>
              <w:t>*</w:t>
            </w:r>
            <w:r>
              <w:rPr>
                <w:rFonts w:ascii="Times New Roman" w:eastAsia="Times New Roman" w:hAnsi="Times New Roman" w:cs="Times New Roman"/>
                <w:b w:val="0"/>
                <w:bCs w:val="0"/>
                <w:i w:val="0"/>
                <w:iCs w:val="0"/>
                <w:smallCaps w:val="0"/>
                <w:color w:val="FF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16.10.2026 15:00</w:t>
            </w:r>
          </w:p>
        </w:tc>
      </w:tr>
      <w:tr>
        <w:tblPrEx>
          <w:tblW w:w="5000" w:type="pct"/>
          <w:tblInd w:w="30" w:type="dxa"/>
          <w:tblCellMar>
            <w:top w:w="15" w:type="dxa"/>
            <w:left w:w="15" w:type="dxa"/>
            <w:bottom w:w="15" w:type="dxa"/>
            <w:right w:w="15" w:type="dxa"/>
          </w:tblCellMar>
          <w:tblLook w:val="05E0"/>
        </w:tblPrEx>
        <w:tc>
          <w:tcPr>
            <w:tcW w:w="1500" w:type="pct"/>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 xml:space="preserve">Место подведения результатов </w:t>
            </w:r>
            <w:r>
              <w:rPr>
                <w:rFonts w:ascii="Times New Roman" w:eastAsia="Times New Roman" w:hAnsi="Times New Roman" w:cs="Times New Roman"/>
                <w:b w:val="0"/>
                <w:bCs w:val="0"/>
                <w:i w:val="0"/>
                <w:iCs w:val="0"/>
                <w:smallCaps w:val="0"/>
                <w:color w:val="000000"/>
              </w:rPr>
              <w:br/>
            </w:r>
          </w:p>
        </w:tc>
        <w:tc>
          <w:tcPr>
            <w:tcBorders>
              <w:top w:val="single" w:sz="6" w:space="0" w:color="000000"/>
              <w:left w:val="single" w:sz="6" w:space="0" w:color="000000"/>
              <w:bottom w:val="single" w:sz="6" w:space="0" w:color="000000"/>
              <w:right w:val="single" w:sz="6" w:space="0" w:color="000000"/>
            </w:tcBorders>
            <w:noWrap w:val="0"/>
            <w:tcMar>
              <w:top w:w="15" w:type="dxa"/>
              <w:left w:w="22" w:type="dxa"/>
              <w:bottom w:w="15" w:type="dxa"/>
              <w:right w:w="22" w:type="dxa"/>
            </w:tcMar>
            <w:vAlign w:val="top"/>
            <w:hideMark/>
          </w:tcPr>
          <w:p>
            <w:pPr>
              <w:jc w:val="left"/>
              <w:rPr>
                <w:rFonts w:ascii="Times New Roman" w:eastAsia="Times New Roman" w:hAnsi="Times New Roman" w:cs="Times New Roman"/>
                <w:b w:val="0"/>
                <w:bCs w:val="0"/>
                <w:i w:val="0"/>
                <w:iCs w:val="0"/>
                <w:smallCaps w:val="0"/>
                <w:color w:val="000000"/>
              </w:rPr>
            </w:pPr>
            <w:r>
              <w:rPr>
                <w:rFonts w:ascii="Times New Roman" w:eastAsia="Times New Roman" w:hAnsi="Times New Roman" w:cs="Times New Roman"/>
                <w:b w:val="0"/>
                <w:bCs w:val="0"/>
                <w:i w:val="0"/>
                <w:iCs w:val="0"/>
                <w:smallCaps w:val="0"/>
                <w:color w:val="000000"/>
              </w:rPr>
              <w:t>http://utp.sberbank-ast.ru/Bankruptcy/</w:t>
            </w:r>
          </w:p>
        </w:tc>
      </w:tr>
    </w:tbl>
    <w:p>
      <w:pPr>
        <w:rPr>
          <w:rFonts w:ascii="Times New Roman" w:eastAsia="Times New Roman" w:hAnsi="Times New Roman" w:cs="Times New Roman"/>
        </w:rPr>
      </w:pPr>
    </w:p>
    <w:p w:rsidR="00A77B3E"/>
    <w:sectPr>
      <w:pgSz w:w="11906" w:h="16838"/>
      <w:pgMar w:top="567" w:right="567" w:bottom="567" w:left="567" w:header="283" w:footer="283"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ocumentProtection w:edit="readOnly" w:enforcement="1" w:cryptProviderType="rsaFull" w:cryptAlgorithmClass="hash" w:cryptAlgorithmType="typeAny" w:cryptAlgorithmSid="4" w:cryptSpinCount="50000" w:hash="wHCXi8K0snaZbOi7BXEoTMsNhYQ=&#10;" w:salt="hIqOl99kIr/+N0hyovEq7Q==&#1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customStyle="1" w:styleId="block">
    <w:name w:val="block"/>
    <w:basedOn w:val="TableNormal"/>
    <w:tblPr/>
  </w:style>
  <w:style w:type="table" w:customStyle="1" w:styleId="dt">
    <w:name w:val="dt"/>
    <w:basedOn w:val="TableNormal"/>
    <w:tblPr/>
  </w:style>
  <w:style w:type="character" w:customStyle="1" w:styleId="orderCtrldigits">
    <w:name w:val="orderCtrl digits"/>
    <w:basedOn w:val="DefaultParagraphFont"/>
  </w:style>
  <w:style w:type="table" w:customStyle="1" w:styleId="block-tbl">
    <w:name w:val="block-tbl "/>
    <w:basedOn w:val="TableNormal"/>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8</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